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b460-11"/>
    <w:p>
      <w:pPr>
        <w:pStyle w:val="Heading4"/>
      </w:pPr>
      <w:r>
        <w:t xml:space="preserve">Stowell</w:t>
      </w:r>
      <w:r>
        <w:t xml:space="preserve"> </w:t>
      </w:r>
      <w:r>
        <w:rPr>
          <w:i/>
          <w:iCs/>
        </w:rPr>
        <w:t xml:space="preserve">et al. vs.</w:t>
      </w:r>
      <w:r>
        <w:t xml:space="preserve"> </w:t>
      </w:r>
      <w:r>
        <w:t xml:space="preserve">Simmons</w:t>
      </w:r>
      <w:r>
        <w:t xml:space="preserve"> </w:t>
      </w:r>
      <w:r>
        <w:rPr>
          <w:i/>
          <w:iCs/>
        </w:rPr>
        <w:t xml:space="preserve">et al.</w:t>
      </w:r>
    </w:p>
    <w:p>
      <w:pPr>
        <w:pStyle w:val="FirstParagraph"/>
      </w:pPr>
      <w:r>
        <w:t xml:space="preserve">The case of</w:t>
      </w:r>
      <w:r>
        <w:t xml:space="preserve"> </w:t>
      </w:r>
      <w:r>
        <w:rPr>
          <w:i/>
          <w:iCs/>
        </w:rPr>
        <w:t xml:space="preserve">Macondray</w:t>
      </w:r>
      <w:r>
        <w:t xml:space="preserve"> </w:t>
      </w:r>
      <w:r>
        <w:t xml:space="preserve">v.</w:t>
      </w:r>
      <w:r>
        <w:t xml:space="preserve"> </w:t>
      </w:r>
      <w:r>
        <w:rPr>
          <w:i/>
          <w:iCs/>
        </w:rPr>
        <w:t xml:space="preserve">Simmons, (ante, p.</w:t>
      </w:r>
      <w:r>
        <w:t xml:space="preserve"> </w:t>
      </w:r>
      <w:r>
        <w:t xml:space="preserve">393.) affirmed.</w:t>
      </w:r>
    </w:p>
    <w:bookmarkEnd w:id="20"/>
    <w:p>
      <w:pPr>
        <w:pStyle w:val="BodyText"/>
      </w:pPr>
      <w:r>
        <w:rPr>
          <w:i/>
          <w:iCs/>
        </w:rPr>
        <w:t xml:space="preserve">By the</w:t>
      </w:r>
      <w:r>
        <w:t xml:space="preserve"> </w:t>
      </w:r>
      <w:r>
        <w:t xml:space="preserve">Court,</w:t>
      </w:r>
    </w:p>
    <w:p>
      <w:pPr>
        <w:pStyle w:val="BodyText"/>
      </w:pPr>
      <w:r>
        <w:t xml:space="preserve">Bennett, J.</w:t>
      </w:r>
    </w:p>
    <w:p>
      <w:pPr>
        <w:pStyle w:val="BodyText"/>
      </w:pPr>
      <w:r>
        <w:t xml:space="preserve">The question in this case is whether a contractor and material man has, under the Mexican law, a specific lien upon a building in the construction of which the work was done and the materials used. In a case decided at the last term we held, after an examination of Mexican authorities, that no lien existed, and that decision must govern this case. The judgment must be affirmed.</w:t>
      </w:r>
    </w:p>
    <w:p>
      <w:pPr>
        <w:pStyle w:val="BodyText"/>
      </w:pPr>
      <w:r>
        <w:t xml:space="preserve">Ordered accordingly.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2025-03-01T23:17:33Z</dcterms:created>
  <dcterms:modified xsi:type="dcterms:W3CDTF">2025-03-01T23:17:33Z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